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4B" w:rsidRDefault="002B044B" w:rsidP="002B044B">
      <w:pPr>
        <w:rPr>
          <w:b/>
          <w:bCs/>
          <w:color w:val="1F3864" w:themeColor="accent5" w:themeShade="80"/>
        </w:rPr>
      </w:pPr>
    </w:p>
    <w:p w:rsidR="002B044B" w:rsidRPr="002B044B" w:rsidRDefault="002B044B" w:rsidP="002B044B">
      <w:pPr>
        <w:rPr>
          <w:color w:val="1F3864" w:themeColor="accent5" w:themeShade="80"/>
        </w:rPr>
      </w:pPr>
      <w:r w:rsidRPr="002B044B">
        <w:rPr>
          <w:b/>
          <w:bCs/>
          <w:noProof/>
          <w:color w:val="1F3864" w:themeColor="accent5" w:themeShade="80"/>
          <w:lang w:eastAsia="nl-NL"/>
        </w:rPr>
        <w:drawing>
          <wp:inline distT="0" distB="0" distL="0" distR="0">
            <wp:extent cx="189391" cy="304800"/>
            <wp:effectExtent l="0" t="0" r="1270" b="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7" cstate="print"/>
                    <a:stretch>
                      <a:fillRect/>
                    </a:stretch>
                  </pic:blipFill>
                  <pic:spPr>
                    <a:xfrm>
                      <a:off x="0" y="0"/>
                      <a:ext cx="200579" cy="322805"/>
                    </a:xfrm>
                    <a:prstGeom prst="rect">
                      <a:avLst/>
                    </a:prstGeom>
                  </pic:spPr>
                </pic:pic>
              </a:graphicData>
            </a:graphic>
          </wp:inline>
        </w:drawing>
      </w:r>
      <w:r w:rsidRPr="00CF3F7D">
        <w:rPr>
          <w:b/>
          <w:bCs/>
          <w:color w:val="1F3864" w:themeColor="accent5" w:themeShade="80"/>
          <w:sz w:val="32"/>
          <w:szCs w:val="32"/>
        </w:rPr>
        <w:t>Intercollegiale toetsing Praktijk Ondersteuning Bedrijfsarts</w:t>
      </w:r>
      <w:r>
        <w:rPr>
          <w:b/>
          <w:bCs/>
          <w:color w:val="1F3864" w:themeColor="accent5" w:themeShade="80"/>
        </w:rPr>
        <w:t xml:space="preserve"> </w:t>
      </w:r>
    </w:p>
    <w:p w:rsidR="002B044B" w:rsidRPr="002B044B" w:rsidRDefault="002B044B" w:rsidP="002B044B">
      <w:pPr>
        <w:rPr>
          <w:color w:val="1F3864" w:themeColor="accent5" w:themeShade="80"/>
        </w:rPr>
      </w:pPr>
      <w:r w:rsidRPr="002B044B">
        <w:rPr>
          <w:b/>
          <w:bCs/>
          <w:color w:val="1F3864" w:themeColor="accent5" w:themeShade="80"/>
        </w:rPr>
        <w:t> </w:t>
      </w:r>
      <w:r w:rsidRPr="002B044B">
        <w:rPr>
          <w:color w:val="1F3864" w:themeColor="accent5" w:themeShade="80"/>
        </w:rPr>
        <w:t>Intercollegiale toetsing neemt op dit moment een groot deel in van de kwaliteitseisen in het kader van het kwaliteitsregister van het beroep Praktijk Ondersteuner Bedrijfsarts. Minimaal 6 punten van de 10 en maximaal 8 punten van de 10 (10 punten is 10 uur) kunnen jaarlijks worden vergaard voor het kwaliteitsregister POB. In de praktijk zal dat neer komen op 2 uur ICT per kwartaal waarbij je zo per jaar aan de maximaal 8 punten kan komen.</w:t>
      </w:r>
    </w:p>
    <w:p w:rsidR="002B044B" w:rsidRPr="002B044B" w:rsidRDefault="002B044B" w:rsidP="002B044B">
      <w:pPr>
        <w:rPr>
          <w:color w:val="1F3864" w:themeColor="accent5" w:themeShade="80"/>
        </w:rPr>
      </w:pPr>
      <w:r w:rsidRPr="002B044B">
        <w:rPr>
          <w:color w:val="1F3864" w:themeColor="accent5" w:themeShade="80"/>
        </w:rPr>
        <w:t>De reden dat intercollegiale toetsing een groot deel van de totale kwaliteitseisen inneemt is dat:</w:t>
      </w:r>
    </w:p>
    <w:p w:rsidR="00600642" w:rsidRPr="002B044B" w:rsidRDefault="00CF3F7D" w:rsidP="002B044B">
      <w:pPr>
        <w:numPr>
          <w:ilvl w:val="0"/>
          <w:numId w:val="1"/>
        </w:numPr>
        <w:rPr>
          <w:color w:val="1F3864" w:themeColor="accent5" w:themeShade="80"/>
        </w:rPr>
      </w:pPr>
      <w:r w:rsidRPr="002B044B">
        <w:rPr>
          <w:color w:val="1F3864" w:themeColor="accent5" w:themeShade="80"/>
        </w:rPr>
        <w:t>het aansluit bij de praktijk van de bedrijfsartsen zelf wat zeer waarschijnlijk ten gunste is voor de samenwerking tussen POB en BA. Beide geven nl aan hun eigen handelen te willen toetsen.</w:t>
      </w:r>
    </w:p>
    <w:p w:rsidR="00600642" w:rsidRPr="002B044B" w:rsidRDefault="00CF3F7D" w:rsidP="002B044B">
      <w:pPr>
        <w:numPr>
          <w:ilvl w:val="0"/>
          <w:numId w:val="1"/>
        </w:numPr>
        <w:rPr>
          <w:color w:val="1F3864" w:themeColor="accent5" w:themeShade="80"/>
        </w:rPr>
      </w:pPr>
      <w:r w:rsidRPr="002B044B">
        <w:rPr>
          <w:color w:val="1F3864" w:themeColor="accent5" w:themeShade="80"/>
        </w:rPr>
        <w:t xml:space="preserve">de achtergrond van studenten die instromen in de POB opleiding divers is en de inzet van POB-er waarschijnlijk per organisatie ontwikkeld gaat worden. Er is dus op dit moment (2019) nog niet te zeggen welke nascholingsbehoefte specifiek voor alle POB-er gaat gelden voor het kwaliteitsregister. Dit zal zich moeten gaan ontwikkelen in de komende jaren. Door ICT op de voorgrond te zetten kan er al wel gewerkt worden aan kwaliteitsbevordering. </w:t>
      </w:r>
    </w:p>
    <w:p w:rsidR="002B044B" w:rsidRPr="002B044B" w:rsidRDefault="002B044B" w:rsidP="002B044B">
      <w:pPr>
        <w:rPr>
          <w:color w:val="1F3864" w:themeColor="accent5" w:themeShade="80"/>
        </w:rPr>
      </w:pPr>
      <w:r w:rsidRPr="002B044B">
        <w:rPr>
          <w:color w:val="1F3864" w:themeColor="accent5" w:themeShade="80"/>
        </w:rPr>
        <w:t> </w:t>
      </w:r>
      <w:r w:rsidRPr="002B044B">
        <w:rPr>
          <w:i/>
          <w:iCs/>
          <w:color w:val="1F3864" w:themeColor="accent5" w:themeShade="80"/>
        </w:rPr>
        <w:t>NB Door minimaal 2 punten per jaar te vergaren ten aanzien van vrije keuze stimuleert dit POB-er tot kwaliteitsbevordering naar eigen voorkeur. Deze vrije keuze moet wel passen binnen de competentiegebieden en zal vooraf getoetst worden door de Kerncommissie NVPOB.</w:t>
      </w:r>
    </w:p>
    <w:p w:rsidR="002B044B" w:rsidRPr="002B044B" w:rsidRDefault="004A1249" w:rsidP="002B044B">
      <w:pPr>
        <w:rPr>
          <w:color w:val="1F3864" w:themeColor="accent5" w:themeShade="80"/>
        </w:rPr>
      </w:pPr>
      <w:r w:rsidRPr="002B044B">
        <w:rPr>
          <w:b/>
          <w:bCs/>
          <w:noProof/>
          <w:color w:val="1F3864" w:themeColor="accent5" w:themeShade="80"/>
          <w:lang w:eastAsia="nl-NL"/>
        </w:rPr>
        <w:drawing>
          <wp:inline distT="0" distB="0" distL="0" distR="0">
            <wp:extent cx="189391" cy="304800"/>
            <wp:effectExtent l="0" t="0" r="1270"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7" cstate="print"/>
                    <a:stretch>
                      <a:fillRect/>
                    </a:stretch>
                  </pic:blipFill>
                  <pic:spPr>
                    <a:xfrm>
                      <a:off x="0" y="0"/>
                      <a:ext cx="200579" cy="322805"/>
                    </a:xfrm>
                    <a:prstGeom prst="rect">
                      <a:avLst/>
                    </a:prstGeom>
                  </pic:spPr>
                </pic:pic>
              </a:graphicData>
            </a:graphic>
          </wp:inline>
        </w:drawing>
      </w:r>
      <w:r w:rsidR="002B044B" w:rsidRPr="002B044B">
        <w:rPr>
          <w:b/>
          <w:bCs/>
          <w:color w:val="1F3864" w:themeColor="accent5" w:themeShade="80"/>
        </w:rPr>
        <w:t>Definitie Intercollegiale toetsing</w:t>
      </w:r>
    </w:p>
    <w:p w:rsidR="002B044B" w:rsidRPr="002B044B" w:rsidRDefault="002B044B" w:rsidP="002B044B">
      <w:pPr>
        <w:rPr>
          <w:color w:val="1F3864" w:themeColor="accent5" w:themeShade="80"/>
        </w:rPr>
      </w:pPr>
      <w:r w:rsidRPr="002B044B">
        <w:rPr>
          <w:color w:val="1F3864" w:themeColor="accent5" w:themeShade="80"/>
        </w:rPr>
        <w:t>Intercollegiale toetsing is een vorm van deskundigheidsbevordering waarbij een Praktijkondersteuner Bedrijfsarts zijn/haar eigen handelen uit het verleden laat toetsen volgens een vaste systematiek, binnen een toets groep van collega's (POB), waaruit individueel en gezamenlijk lessen worden getrokken.</w:t>
      </w:r>
    </w:p>
    <w:p w:rsidR="002B044B" w:rsidRPr="002B044B" w:rsidRDefault="004A1249" w:rsidP="002B044B">
      <w:pPr>
        <w:rPr>
          <w:color w:val="1F3864" w:themeColor="accent5" w:themeShade="80"/>
        </w:rPr>
      </w:pPr>
      <w:r w:rsidRPr="002B044B">
        <w:rPr>
          <w:b/>
          <w:bCs/>
          <w:noProof/>
          <w:color w:val="1F3864" w:themeColor="accent5" w:themeShade="80"/>
          <w:lang w:eastAsia="nl-NL"/>
        </w:rPr>
        <w:drawing>
          <wp:inline distT="0" distB="0" distL="0" distR="0">
            <wp:extent cx="189391" cy="304800"/>
            <wp:effectExtent l="0" t="0" r="1270" b="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7" cstate="print"/>
                    <a:stretch>
                      <a:fillRect/>
                    </a:stretch>
                  </pic:blipFill>
                  <pic:spPr>
                    <a:xfrm>
                      <a:off x="0" y="0"/>
                      <a:ext cx="200579" cy="322805"/>
                    </a:xfrm>
                    <a:prstGeom prst="rect">
                      <a:avLst/>
                    </a:prstGeom>
                  </pic:spPr>
                </pic:pic>
              </a:graphicData>
            </a:graphic>
          </wp:inline>
        </w:drawing>
      </w:r>
      <w:r w:rsidR="002B044B" w:rsidRPr="002B044B">
        <w:rPr>
          <w:b/>
          <w:bCs/>
          <w:color w:val="1F3864" w:themeColor="accent5" w:themeShade="80"/>
        </w:rPr>
        <w:t>Doel van intercollegiale toetsing</w:t>
      </w:r>
    </w:p>
    <w:p w:rsidR="002B044B" w:rsidRPr="002B044B" w:rsidRDefault="002B044B" w:rsidP="002B044B">
      <w:pPr>
        <w:rPr>
          <w:color w:val="1F3864" w:themeColor="accent5" w:themeShade="80"/>
        </w:rPr>
      </w:pPr>
      <w:r w:rsidRPr="002B044B">
        <w:rPr>
          <w:color w:val="1F3864" w:themeColor="accent5" w:themeShade="80"/>
        </w:rPr>
        <w:t>Het doel van intercollegiale toetsing is vergroting van de kwaliteit van het eigen professioneel handelen van de Praktijk Ondersteuner Bedrijfsarts. Intercollegiale toetsing, intervisie, casuïstiekbesprekingen zijn leervormen die op elkaar lijken. Maar alleen bijeenkomsten die voldoen aan alle hieronder genoemde criteria kun je in je portfolio opnemen als intercollegiale toetsing.</w:t>
      </w:r>
    </w:p>
    <w:p w:rsidR="002B044B" w:rsidRPr="002B044B" w:rsidRDefault="004A1249" w:rsidP="002B044B">
      <w:pPr>
        <w:rPr>
          <w:color w:val="1F3864" w:themeColor="accent5" w:themeShade="80"/>
        </w:rPr>
      </w:pPr>
      <w:r w:rsidRPr="002B044B">
        <w:rPr>
          <w:b/>
          <w:bCs/>
          <w:noProof/>
          <w:color w:val="1F3864" w:themeColor="accent5" w:themeShade="80"/>
          <w:lang w:eastAsia="nl-NL"/>
        </w:rPr>
        <w:drawing>
          <wp:inline distT="0" distB="0" distL="0" distR="0">
            <wp:extent cx="189391" cy="304800"/>
            <wp:effectExtent l="0" t="0" r="1270" b="0"/>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7" cstate="print"/>
                    <a:stretch>
                      <a:fillRect/>
                    </a:stretch>
                  </pic:blipFill>
                  <pic:spPr>
                    <a:xfrm>
                      <a:off x="0" y="0"/>
                      <a:ext cx="200579" cy="322805"/>
                    </a:xfrm>
                    <a:prstGeom prst="rect">
                      <a:avLst/>
                    </a:prstGeom>
                  </pic:spPr>
                </pic:pic>
              </a:graphicData>
            </a:graphic>
          </wp:inline>
        </w:drawing>
      </w:r>
      <w:r w:rsidR="002B044B" w:rsidRPr="002B044B">
        <w:rPr>
          <w:b/>
          <w:bCs/>
          <w:color w:val="1F3864" w:themeColor="accent5" w:themeShade="80"/>
        </w:rPr>
        <w:t>Vastleggen intercollegiale toetsing voor kwaliteitsregister</w:t>
      </w:r>
    </w:p>
    <w:p w:rsidR="002B044B" w:rsidRDefault="002B044B" w:rsidP="002B044B">
      <w:pPr>
        <w:rPr>
          <w:color w:val="1F3864" w:themeColor="accent5" w:themeShade="80"/>
        </w:rPr>
      </w:pPr>
      <w:r w:rsidRPr="002B044B">
        <w:rPr>
          <w:color w:val="1F3864" w:themeColor="accent5" w:themeShade="80"/>
        </w:rPr>
        <w:t xml:space="preserve">Tijdens elke bijeenkomst leg je vast dat je hebt deelgenomen aan het toetsingsmoment. Hiervoor is een format beschikbaar op de website van NVPOB. Als ICT groep zorg je er jaarlijks voor dat er na 4 keer ICT een verslag wordt gestuurd aan de Kerncommissie NVPOB. Dit verslag zal na 5 jaar meegenomen worden in de toetsing voor de herregistratie. In de toekomst hopen we een tool te hebben die het je makkelijk maakt dit digitaal te registreren. </w:t>
      </w:r>
      <w:r>
        <w:rPr>
          <w:color w:val="1F3864" w:themeColor="accent5" w:themeShade="80"/>
        </w:rPr>
        <w:t xml:space="preserve"> </w:t>
      </w:r>
    </w:p>
    <w:p w:rsidR="004A1249" w:rsidRDefault="004A1249" w:rsidP="002B044B">
      <w:pPr>
        <w:rPr>
          <w:color w:val="1F3864" w:themeColor="accent5" w:themeShade="80"/>
        </w:rPr>
      </w:pPr>
    </w:p>
    <w:p w:rsidR="004A1249" w:rsidRPr="004A1249" w:rsidRDefault="004A1249" w:rsidP="002B044B">
      <w:pPr>
        <w:rPr>
          <w:b/>
          <w:color w:val="1F3864" w:themeColor="accent5" w:themeShade="80"/>
        </w:rPr>
      </w:pPr>
      <w:r w:rsidRPr="002B044B">
        <w:rPr>
          <w:b/>
          <w:bCs/>
          <w:noProof/>
          <w:color w:val="1F3864" w:themeColor="accent5" w:themeShade="80"/>
          <w:lang w:eastAsia="nl-NL"/>
        </w:rPr>
        <w:drawing>
          <wp:inline distT="0" distB="0" distL="0" distR="0">
            <wp:extent cx="189391" cy="304800"/>
            <wp:effectExtent l="0" t="0" r="1270" b="0"/>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7" cstate="print"/>
                    <a:stretch>
                      <a:fillRect/>
                    </a:stretch>
                  </pic:blipFill>
                  <pic:spPr>
                    <a:xfrm>
                      <a:off x="0" y="0"/>
                      <a:ext cx="200579" cy="322805"/>
                    </a:xfrm>
                    <a:prstGeom prst="rect">
                      <a:avLst/>
                    </a:prstGeom>
                  </pic:spPr>
                </pic:pic>
              </a:graphicData>
            </a:graphic>
          </wp:inline>
        </w:drawing>
      </w:r>
      <w:r w:rsidRPr="004A1249">
        <w:rPr>
          <w:b/>
          <w:color w:val="1F3864" w:themeColor="accent5" w:themeShade="80"/>
        </w:rPr>
        <w:t>Eigen handelen</w:t>
      </w:r>
    </w:p>
    <w:p w:rsidR="004A1249" w:rsidRPr="004A1249" w:rsidRDefault="004A1249" w:rsidP="004A1249">
      <w:pPr>
        <w:rPr>
          <w:color w:val="1F3864" w:themeColor="accent5" w:themeShade="80"/>
        </w:rPr>
      </w:pPr>
      <w:r w:rsidRPr="004A1249">
        <w:rPr>
          <w:color w:val="1F3864" w:themeColor="accent5" w:themeShade="80"/>
        </w:rPr>
        <w:t xml:space="preserve">Het eigen handelen is onderwerp van onderzoek en verbetering. Het gaat er niet om wat er binnen de eigen organisatie beter zou kunnen, of hoe anderen hun werk zouden moeten doen met positieve effecten voor het eigen functioneren, de insteek is het verbeteren van de eigen “performance”, het eigen professioneel handelen in de praktijk van alle dag. Het op methodische wijze proberen in het dagelijks functioneren een verbetering te bereiken, en evalueren welke veranderingen concreet zijn gerealiseerd. </w:t>
      </w:r>
    </w:p>
    <w:p w:rsidR="004A1249" w:rsidRDefault="004A1249" w:rsidP="004A1249">
      <w:pPr>
        <w:rPr>
          <w:color w:val="1F3864" w:themeColor="accent5" w:themeShade="80"/>
        </w:rPr>
      </w:pPr>
      <w:r w:rsidRPr="004A1249">
        <w:rPr>
          <w:color w:val="1F3864" w:themeColor="accent5" w:themeShade="80"/>
        </w:rPr>
        <w:t xml:space="preserve">Deelnemers zijn gelijkwaardig. Dat wil zeggen dat er tussen deelnemende leden geen sprake mag zijn van een hiërarchische verhouding; niet binnen de groep maar ook niet daarbuiten. </w:t>
      </w:r>
    </w:p>
    <w:p w:rsidR="00CF3F7D" w:rsidRDefault="00CF3F7D" w:rsidP="004A1249">
      <w:pPr>
        <w:rPr>
          <w:b/>
          <w:color w:val="1F3864" w:themeColor="accent5" w:themeShade="80"/>
        </w:rPr>
      </w:pPr>
      <w:r w:rsidRPr="002B044B">
        <w:rPr>
          <w:b/>
          <w:bCs/>
          <w:noProof/>
          <w:color w:val="1F3864" w:themeColor="accent5" w:themeShade="80"/>
          <w:lang w:eastAsia="nl-NL"/>
        </w:rPr>
        <w:drawing>
          <wp:inline distT="0" distB="0" distL="0" distR="0">
            <wp:extent cx="189391" cy="304800"/>
            <wp:effectExtent l="0" t="0" r="1270" b="0"/>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7" cstate="print"/>
                    <a:stretch>
                      <a:fillRect/>
                    </a:stretch>
                  </pic:blipFill>
                  <pic:spPr>
                    <a:xfrm>
                      <a:off x="0" y="0"/>
                      <a:ext cx="200579" cy="322805"/>
                    </a:xfrm>
                    <a:prstGeom prst="rect">
                      <a:avLst/>
                    </a:prstGeom>
                  </pic:spPr>
                </pic:pic>
              </a:graphicData>
            </a:graphic>
          </wp:inline>
        </w:drawing>
      </w:r>
      <w:r w:rsidRPr="00CF3F7D">
        <w:rPr>
          <w:b/>
          <w:color w:val="1F3864" w:themeColor="accent5" w:themeShade="80"/>
        </w:rPr>
        <w:t>Criteria Intercollegiale Toetsing</w:t>
      </w:r>
    </w:p>
    <w:p w:rsidR="00CF3F7D" w:rsidRPr="00CF3F7D" w:rsidRDefault="00CF3F7D" w:rsidP="00CF3F7D">
      <w:pPr>
        <w:rPr>
          <w:color w:val="1F3864" w:themeColor="accent5" w:themeShade="80"/>
        </w:rPr>
      </w:pPr>
      <w:r w:rsidRPr="00CF3F7D">
        <w:rPr>
          <w:bCs/>
          <w:color w:val="1F3864" w:themeColor="accent5" w:themeShade="80"/>
        </w:rPr>
        <w:t>Inhoud ICT</w:t>
      </w:r>
    </w:p>
    <w:p w:rsidR="00600642" w:rsidRPr="00CF3F7D" w:rsidRDefault="00CF3F7D" w:rsidP="00CF3F7D">
      <w:pPr>
        <w:numPr>
          <w:ilvl w:val="0"/>
          <w:numId w:val="2"/>
        </w:numPr>
        <w:rPr>
          <w:color w:val="1F3864" w:themeColor="accent5" w:themeShade="80"/>
        </w:rPr>
      </w:pPr>
      <w:r w:rsidRPr="00CF3F7D">
        <w:rPr>
          <w:color w:val="1F3864" w:themeColor="accent5" w:themeShade="80"/>
        </w:rPr>
        <w:t>Betreft het eigen handelen van de deelnemer ICT uit het verleden</w:t>
      </w:r>
    </w:p>
    <w:p w:rsidR="00600642" w:rsidRPr="00CF3F7D" w:rsidRDefault="00CF3F7D" w:rsidP="00CF3F7D">
      <w:pPr>
        <w:numPr>
          <w:ilvl w:val="0"/>
          <w:numId w:val="2"/>
        </w:numPr>
        <w:rPr>
          <w:color w:val="1F3864" w:themeColor="accent5" w:themeShade="80"/>
        </w:rPr>
      </w:pPr>
      <w:r w:rsidRPr="00CF3F7D">
        <w:rPr>
          <w:color w:val="1F3864" w:themeColor="accent5" w:themeShade="80"/>
        </w:rPr>
        <w:t>Voor start van ICT moet voor leden duidelijk zijn welk handelen getoetst gaat worden</w:t>
      </w:r>
    </w:p>
    <w:p w:rsidR="00600642" w:rsidRPr="00CF3F7D" w:rsidRDefault="00CF3F7D" w:rsidP="00CF3F7D">
      <w:pPr>
        <w:numPr>
          <w:ilvl w:val="0"/>
          <w:numId w:val="2"/>
        </w:numPr>
        <w:rPr>
          <w:color w:val="1F3864" w:themeColor="accent5" w:themeShade="80"/>
        </w:rPr>
      </w:pPr>
      <w:r w:rsidRPr="00CF3F7D">
        <w:rPr>
          <w:color w:val="1F3864" w:themeColor="accent5" w:themeShade="80"/>
        </w:rPr>
        <w:t>Er moet een duidelijk leerdoel/dilemma zijn</w:t>
      </w:r>
    </w:p>
    <w:p w:rsidR="00600642" w:rsidRPr="00CF3F7D" w:rsidRDefault="00CF3F7D" w:rsidP="00CF3F7D">
      <w:pPr>
        <w:numPr>
          <w:ilvl w:val="0"/>
          <w:numId w:val="2"/>
        </w:numPr>
        <w:rPr>
          <w:color w:val="1F3864" w:themeColor="accent5" w:themeShade="80"/>
        </w:rPr>
      </w:pPr>
      <w:r w:rsidRPr="00CF3F7D">
        <w:rPr>
          <w:color w:val="1F3864" w:themeColor="accent5" w:themeShade="80"/>
        </w:rPr>
        <w:t>Er moeten conclusies kunnen worden getrokken</w:t>
      </w:r>
    </w:p>
    <w:p w:rsidR="00600642" w:rsidRPr="00CF3F7D" w:rsidRDefault="00CF3F7D" w:rsidP="00CF3F7D">
      <w:pPr>
        <w:numPr>
          <w:ilvl w:val="0"/>
          <w:numId w:val="2"/>
        </w:numPr>
        <w:rPr>
          <w:color w:val="1F3864" w:themeColor="accent5" w:themeShade="80"/>
        </w:rPr>
      </w:pPr>
      <w:r w:rsidRPr="00CF3F7D">
        <w:rPr>
          <w:color w:val="1F3864" w:themeColor="accent5" w:themeShade="80"/>
        </w:rPr>
        <w:t>Je moet er iets van kunnen leren</w:t>
      </w:r>
    </w:p>
    <w:p w:rsidR="00600642" w:rsidRPr="00CF3F7D" w:rsidRDefault="00CF3F7D" w:rsidP="00CF3F7D">
      <w:pPr>
        <w:numPr>
          <w:ilvl w:val="0"/>
          <w:numId w:val="2"/>
        </w:numPr>
        <w:rPr>
          <w:color w:val="1F3864" w:themeColor="accent5" w:themeShade="80"/>
        </w:rPr>
      </w:pPr>
      <w:r w:rsidRPr="00CF3F7D">
        <w:rPr>
          <w:color w:val="1F3864" w:themeColor="accent5" w:themeShade="80"/>
        </w:rPr>
        <w:t>De besproken vraag of het leerdoel moet een van de zeven competentieprofielen beslaan.</w:t>
      </w:r>
    </w:p>
    <w:p w:rsidR="00600642" w:rsidRPr="00CF3F7D" w:rsidRDefault="00CF3F7D" w:rsidP="00CF3F7D">
      <w:pPr>
        <w:numPr>
          <w:ilvl w:val="0"/>
          <w:numId w:val="2"/>
        </w:numPr>
        <w:rPr>
          <w:color w:val="1F3864" w:themeColor="accent5" w:themeShade="80"/>
        </w:rPr>
      </w:pPr>
      <w:r w:rsidRPr="00CF3F7D">
        <w:rPr>
          <w:color w:val="1F3864" w:themeColor="accent5" w:themeShade="80"/>
        </w:rPr>
        <w:t>Toetsing gaat volgens een vaste methodiek die voor de bijeenkomst bekend is bij de leden (diverse methodieken zullen op de website van NVPOB komen)</w:t>
      </w:r>
    </w:p>
    <w:p w:rsidR="00CF3F7D" w:rsidRPr="00CF3F7D" w:rsidRDefault="00CF3F7D" w:rsidP="00CF3F7D">
      <w:pPr>
        <w:rPr>
          <w:color w:val="1F3864" w:themeColor="accent5" w:themeShade="80"/>
        </w:rPr>
      </w:pPr>
      <w:r w:rsidRPr="00CF3F7D">
        <w:rPr>
          <w:bCs/>
          <w:color w:val="1F3864" w:themeColor="accent5" w:themeShade="80"/>
        </w:rPr>
        <w:t>Deelnemers ICT</w:t>
      </w:r>
    </w:p>
    <w:p w:rsidR="00600642" w:rsidRPr="00CF3F7D" w:rsidRDefault="00CF3F7D" w:rsidP="00CF3F7D">
      <w:pPr>
        <w:numPr>
          <w:ilvl w:val="0"/>
          <w:numId w:val="3"/>
        </w:numPr>
        <w:rPr>
          <w:color w:val="1F3864" w:themeColor="accent5" w:themeShade="80"/>
        </w:rPr>
      </w:pPr>
      <w:r w:rsidRPr="00CF3F7D">
        <w:rPr>
          <w:color w:val="1F3864" w:themeColor="accent5" w:themeShade="80"/>
        </w:rPr>
        <w:t xml:space="preserve">Het betreft minimaal 4 en maximaal 6 deelnemers </w:t>
      </w:r>
    </w:p>
    <w:p w:rsidR="00600642" w:rsidRPr="00CF3F7D" w:rsidRDefault="00CF3F7D" w:rsidP="00CF3F7D">
      <w:pPr>
        <w:numPr>
          <w:ilvl w:val="0"/>
          <w:numId w:val="3"/>
        </w:numPr>
        <w:rPr>
          <w:color w:val="1F3864" w:themeColor="accent5" w:themeShade="80"/>
        </w:rPr>
      </w:pPr>
      <w:r w:rsidRPr="00CF3F7D">
        <w:rPr>
          <w:color w:val="1F3864" w:themeColor="accent5" w:themeShade="80"/>
        </w:rPr>
        <w:t>De meerderheid moet geregistreerde leden NVPOB zijn. ( Dus 2 wel reg/ 2 niet reg: kan niet, 3 wel reg /1 niet reg : kan wel)</w:t>
      </w:r>
    </w:p>
    <w:p w:rsidR="00600642" w:rsidRPr="00CF3F7D" w:rsidRDefault="00CF3F7D" w:rsidP="00CF3F7D">
      <w:pPr>
        <w:numPr>
          <w:ilvl w:val="0"/>
          <w:numId w:val="3"/>
        </w:numPr>
        <w:rPr>
          <w:color w:val="1F3864" w:themeColor="accent5" w:themeShade="80"/>
        </w:rPr>
      </w:pPr>
      <w:r w:rsidRPr="00CF3F7D">
        <w:rPr>
          <w:color w:val="1F3864" w:themeColor="accent5" w:themeShade="80"/>
        </w:rPr>
        <w:t xml:space="preserve">Bij voorkeur (geen eis) POB-ers uit meer dan 1 organisatie </w:t>
      </w:r>
    </w:p>
    <w:p w:rsidR="00600642" w:rsidRDefault="00CF3F7D" w:rsidP="00CF3F7D">
      <w:pPr>
        <w:numPr>
          <w:ilvl w:val="0"/>
          <w:numId w:val="3"/>
        </w:numPr>
        <w:rPr>
          <w:color w:val="1F3864" w:themeColor="accent5" w:themeShade="80"/>
        </w:rPr>
      </w:pPr>
      <w:r w:rsidRPr="00CF3F7D">
        <w:rPr>
          <w:color w:val="1F3864" w:themeColor="accent5" w:themeShade="80"/>
        </w:rPr>
        <w:t>Bij voorkeur (geen eis) na maximaal 5 jaar een wissel</w:t>
      </w:r>
    </w:p>
    <w:p w:rsidR="00CF3F7D" w:rsidRDefault="00CF3F7D" w:rsidP="00CF3F7D">
      <w:pPr>
        <w:rPr>
          <w:color w:val="1F3864" w:themeColor="accent5" w:themeShade="80"/>
        </w:rPr>
      </w:pPr>
    </w:p>
    <w:p w:rsidR="00CF3F7D" w:rsidRDefault="00CF3F7D" w:rsidP="00CF3F7D">
      <w:pPr>
        <w:rPr>
          <w:color w:val="1F3864" w:themeColor="accent5" w:themeShade="80"/>
        </w:rPr>
      </w:pPr>
    </w:p>
    <w:p w:rsidR="00CF3F7D" w:rsidRDefault="00CF3F7D" w:rsidP="00CF3F7D">
      <w:pPr>
        <w:rPr>
          <w:color w:val="1F3864" w:themeColor="accent5" w:themeShade="80"/>
        </w:rPr>
      </w:pPr>
    </w:p>
    <w:p w:rsidR="00CF3F7D" w:rsidRDefault="00CF3F7D" w:rsidP="00CF3F7D">
      <w:pPr>
        <w:rPr>
          <w:color w:val="1F3864" w:themeColor="accent5" w:themeShade="80"/>
        </w:rPr>
      </w:pPr>
    </w:p>
    <w:p w:rsidR="00CF3F7D" w:rsidRDefault="00CF3F7D" w:rsidP="00CF3F7D">
      <w:pPr>
        <w:rPr>
          <w:color w:val="1F3864" w:themeColor="accent5" w:themeShade="80"/>
        </w:rPr>
      </w:pPr>
    </w:p>
    <w:p w:rsidR="00CF3F7D" w:rsidRDefault="00CF3F7D" w:rsidP="00CF3F7D">
      <w:pPr>
        <w:rPr>
          <w:color w:val="1F3864" w:themeColor="accent5" w:themeShade="80"/>
        </w:rPr>
      </w:pPr>
    </w:p>
    <w:p w:rsidR="00CF3F7D" w:rsidRPr="00CF3F7D" w:rsidRDefault="00CF3F7D" w:rsidP="00CF3F7D">
      <w:pPr>
        <w:rPr>
          <w:color w:val="1F3864" w:themeColor="accent5" w:themeShade="80"/>
        </w:rPr>
      </w:pPr>
      <w:r w:rsidRPr="00CF3F7D">
        <w:rPr>
          <w:bCs/>
          <w:color w:val="1F3864" w:themeColor="accent5" w:themeShade="80"/>
        </w:rPr>
        <w:t>Verslaglegging ICT</w:t>
      </w:r>
    </w:p>
    <w:p w:rsidR="00CF3F7D" w:rsidRPr="00CF3F7D" w:rsidRDefault="00CF3F7D" w:rsidP="00CF3F7D">
      <w:pPr>
        <w:rPr>
          <w:color w:val="1F3864" w:themeColor="accent5" w:themeShade="80"/>
        </w:rPr>
      </w:pPr>
      <w:r w:rsidRPr="00CF3F7D">
        <w:rPr>
          <w:color w:val="1F3864" w:themeColor="accent5" w:themeShade="80"/>
        </w:rPr>
        <w:t xml:space="preserve">Van iedere bijeenkomst wordt een verslag gemaakt. Hierin wordt vermeld:  </w:t>
      </w:r>
    </w:p>
    <w:p w:rsidR="00600642" w:rsidRPr="00CF3F7D" w:rsidRDefault="00CF3F7D" w:rsidP="00CF3F7D">
      <w:pPr>
        <w:numPr>
          <w:ilvl w:val="0"/>
          <w:numId w:val="4"/>
        </w:numPr>
        <w:rPr>
          <w:color w:val="1F3864" w:themeColor="accent5" w:themeShade="80"/>
        </w:rPr>
      </w:pPr>
      <w:r w:rsidRPr="00CF3F7D">
        <w:rPr>
          <w:color w:val="1F3864" w:themeColor="accent5" w:themeShade="80"/>
        </w:rPr>
        <w:t xml:space="preserve">datum van bijeenkomst;  </w:t>
      </w:r>
    </w:p>
    <w:p w:rsidR="00600642" w:rsidRPr="00CF3F7D" w:rsidRDefault="00CF3F7D" w:rsidP="00CF3F7D">
      <w:pPr>
        <w:numPr>
          <w:ilvl w:val="0"/>
          <w:numId w:val="4"/>
        </w:numPr>
        <w:rPr>
          <w:color w:val="1F3864" w:themeColor="accent5" w:themeShade="80"/>
        </w:rPr>
      </w:pPr>
      <w:r w:rsidRPr="00CF3F7D">
        <w:rPr>
          <w:color w:val="1F3864" w:themeColor="accent5" w:themeShade="80"/>
        </w:rPr>
        <w:t>namen deelnemers (voorletters, (meisjes)naam, registratienummer) Het registratienummer is publiek en staat op de publieke lijst.</w:t>
      </w:r>
    </w:p>
    <w:p w:rsidR="00600642" w:rsidRPr="00CF3F7D" w:rsidRDefault="00CF3F7D" w:rsidP="00CF3F7D">
      <w:pPr>
        <w:numPr>
          <w:ilvl w:val="0"/>
          <w:numId w:val="4"/>
        </w:numPr>
        <w:rPr>
          <w:color w:val="1F3864" w:themeColor="accent5" w:themeShade="80"/>
        </w:rPr>
      </w:pPr>
      <w:r w:rsidRPr="00CF3F7D">
        <w:rPr>
          <w:color w:val="1F3864" w:themeColor="accent5" w:themeShade="80"/>
        </w:rPr>
        <w:t xml:space="preserve">behandeld onderwerp en welke kerncompetentie het onderwerp beslaat </w:t>
      </w:r>
    </w:p>
    <w:p w:rsidR="00600642" w:rsidRPr="00CF3F7D" w:rsidRDefault="00CF3F7D" w:rsidP="00CF3F7D">
      <w:pPr>
        <w:numPr>
          <w:ilvl w:val="0"/>
          <w:numId w:val="4"/>
        </w:numPr>
        <w:rPr>
          <w:color w:val="1F3864" w:themeColor="accent5" w:themeShade="80"/>
        </w:rPr>
      </w:pPr>
      <w:r w:rsidRPr="00CF3F7D">
        <w:rPr>
          <w:color w:val="1F3864" w:themeColor="accent5" w:themeShade="80"/>
        </w:rPr>
        <w:t xml:space="preserve">toetsingsmethode;  </w:t>
      </w:r>
    </w:p>
    <w:p w:rsidR="00600642" w:rsidRPr="00CF3F7D" w:rsidRDefault="00CF3F7D" w:rsidP="00CF3F7D">
      <w:pPr>
        <w:numPr>
          <w:ilvl w:val="0"/>
          <w:numId w:val="4"/>
        </w:numPr>
        <w:rPr>
          <w:color w:val="1F3864" w:themeColor="accent5" w:themeShade="80"/>
        </w:rPr>
      </w:pPr>
      <w:r w:rsidRPr="00CF3F7D">
        <w:rPr>
          <w:color w:val="1F3864" w:themeColor="accent5" w:themeShade="80"/>
        </w:rPr>
        <w:t xml:space="preserve">gemaakte werkafspraken, besluiten en follow-up; </w:t>
      </w:r>
    </w:p>
    <w:p w:rsidR="00CF3F7D" w:rsidRPr="00CF3F7D" w:rsidRDefault="00CF3F7D" w:rsidP="00CF3F7D">
      <w:pPr>
        <w:rPr>
          <w:color w:val="1F3864" w:themeColor="accent5" w:themeShade="80"/>
        </w:rPr>
      </w:pPr>
      <w:r w:rsidRPr="00CF3F7D">
        <w:rPr>
          <w:color w:val="1F3864" w:themeColor="accent5" w:themeShade="80"/>
        </w:rPr>
        <w:t xml:space="preserve">De groep maakt aan het einde van een ICT-cyclus (4 bijeenkomsten), doch ten minste eenmaal per jaar, een overzicht met data, onderwerpen met methodiek en de aanwezigheidsregistratie.  Van dit overzicht wordt na opstelling aan alle vermelde deelnemers een door de opsteller en de gespreksleider ondertekend exemplaar verstrekt. De groep stuurt jaarlijks een door alle leden getekend exemplaar naar de Kerncommissie.  </w:t>
      </w:r>
    </w:p>
    <w:p w:rsidR="00CF3F7D" w:rsidRPr="00CF3F7D" w:rsidRDefault="00CF3F7D" w:rsidP="00CF3F7D">
      <w:pPr>
        <w:rPr>
          <w:color w:val="1F3864" w:themeColor="accent5" w:themeShade="80"/>
        </w:rPr>
      </w:pPr>
      <w:r w:rsidRPr="00CF3F7D">
        <w:rPr>
          <w:color w:val="1F3864" w:themeColor="accent5" w:themeShade="80"/>
        </w:rPr>
        <w:t>De Kerncommissie NVPOB zal op korte termijn een format Verslag ICT NVPOB op de website NVPOB plaatsen.</w:t>
      </w:r>
    </w:p>
    <w:p w:rsidR="00CF3F7D" w:rsidRPr="00CF3F7D" w:rsidRDefault="00CF3F7D" w:rsidP="00CF3F7D">
      <w:pPr>
        <w:rPr>
          <w:color w:val="1F3864" w:themeColor="accent5" w:themeShade="80"/>
        </w:rPr>
      </w:pPr>
    </w:p>
    <w:p w:rsidR="00CF3F7D" w:rsidRPr="00CF3F7D" w:rsidRDefault="00CF3F7D" w:rsidP="004A1249">
      <w:pPr>
        <w:rPr>
          <w:color w:val="1F3864" w:themeColor="accent5" w:themeShade="80"/>
        </w:rPr>
      </w:pPr>
    </w:p>
    <w:p w:rsidR="004A1249" w:rsidRPr="002B044B" w:rsidRDefault="004A1249" w:rsidP="002B044B">
      <w:pPr>
        <w:rPr>
          <w:color w:val="1F3864" w:themeColor="accent5" w:themeShade="80"/>
        </w:rPr>
      </w:pPr>
    </w:p>
    <w:p w:rsidR="00CA01D9" w:rsidRPr="002B044B" w:rsidRDefault="00CA01D9">
      <w:pPr>
        <w:rPr>
          <w:color w:val="1F3864" w:themeColor="accent5" w:themeShade="80"/>
        </w:rPr>
      </w:pPr>
    </w:p>
    <w:sectPr w:rsidR="00CA01D9" w:rsidRPr="002B044B" w:rsidSect="0060064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E77" w:rsidRDefault="00700E77" w:rsidP="002B044B">
      <w:pPr>
        <w:spacing w:after="0" w:line="240" w:lineRule="auto"/>
      </w:pPr>
      <w:r>
        <w:separator/>
      </w:r>
    </w:p>
  </w:endnote>
  <w:endnote w:type="continuationSeparator" w:id="0">
    <w:p w:rsidR="00700E77" w:rsidRDefault="00700E77" w:rsidP="002B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E77" w:rsidRDefault="00700E77" w:rsidP="002B044B">
      <w:pPr>
        <w:spacing w:after="0" w:line="240" w:lineRule="auto"/>
      </w:pPr>
      <w:r>
        <w:separator/>
      </w:r>
    </w:p>
  </w:footnote>
  <w:footnote w:type="continuationSeparator" w:id="0">
    <w:p w:rsidR="00700E77" w:rsidRDefault="00700E77" w:rsidP="002B0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4B" w:rsidRDefault="002B044B">
    <w:pPr>
      <w:pStyle w:val="Koptekst"/>
    </w:pPr>
    <w:r w:rsidRPr="002B044B">
      <w:rPr>
        <w:noProof/>
        <w:lang w:eastAsia="nl-NL"/>
      </w:rPr>
      <w:drawing>
        <wp:inline distT="0" distB="0" distL="0" distR="0">
          <wp:extent cx="1895475" cy="723900"/>
          <wp:effectExtent l="0" t="0" r="9525" b="0"/>
          <wp:docPr id="4"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DDB"/>
    <w:multiLevelType w:val="hybridMultilevel"/>
    <w:tmpl w:val="FA8EE458"/>
    <w:lvl w:ilvl="0" w:tplc="B754C8A2">
      <w:start w:val="1"/>
      <w:numFmt w:val="bullet"/>
      <w:lvlText w:val="•"/>
      <w:lvlJc w:val="left"/>
      <w:pPr>
        <w:tabs>
          <w:tab w:val="num" w:pos="720"/>
        </w:tabs>
        <w:ind w:left="720" w:hanging="360"/>
      </w:pPr>
      <w:rPr>
        <w:rFonts w:ascii="Arial" w:hAnsi="Arial" w:hint="default"/>
      </w:rPr>
    </w:lvl>
    <w:lvl w:ilvl="1" w:tplc="6478B384" w:tentative="1">
      <w:start w:val="1"/>
      <w:numFmt w:val="bullet"/>
      <w:lvlText w:val="•"/>
      <w:lvlJc w:val="left"/>
      <w:pPr>
        <w:tabs>
          <w:tab w:val="num" w:pos="1440"/>
        </w:tabs>
        <w:ind w:left="1440" w:hanging="360"/>
      </w:pPr>
      <w:rPr>
        <w:rFonts w:ascii="Arial" w:hAnsi="Arial" w:hint="default"/>
      </w:rPr>
    </w:lvl>
    <w:lvl w:ilvl="2" w:tplc="6DC8F184" w:tentative="1">
      <w:start w:val="1"/>
      <w:numFmt w:val="bullet"/>
      <w:lvlText w:val="•"/>
      <w:lvlJc w:val="left"/>
      <w:pPr>
        <w:tabs>
          <w:tab w:val="num" w:pos="2160"/>
        </w:tabs>
        <w:ind w:left="2160" w:hanging="360"/>
      </w:pPr>
      <w:rPr>
        <w:rFonts w:ascii="Arial" w:hAnsi="Arial" w:hint="default"/>
      </w:rPr>
    </w:lvl>
    <w:lvl w:ilvl="3" w:tplc="045C9534" w:tentative="1">
      <w:start w:val="1"/>
      <w:numFmt w:val="bullet"/>
      <w:lvlText w:val="•"/>
      <w:lvlJc w:val="left"/>
      <w:pPr>
        <w:tabs>
          <w:tab w:val="num" w:pos="2880"/>
        </w:tabs>
        <w:ind w:left="2880" w:hanging="360"/>
      </w:pPr>
      <w:rPr>
        <w:rFonts w:ascii="Arial" w:hAnsi="Arial" w:hint="default"/>
      </w:rPr>
    </w:lvl>
    <w:lvl w:ilvl="4" w:tplc="6AFCB1BA" w:tentative="1">
      <w:start w:val="1"/>
      <w:numFmt w:val="bullet"/>
      <w:lvlText w:val="•"/>
      <w:lvlJc w:val="left"/>
      <w:pPr>
        <w:tabs>
          <w:tab w:val="num" w:pos="3600"/>
        </w:tabs>
        <w:ind w:left="3600" w:hanging="360"/>
      </w:pPr>
      <w:rPr>
        <w:rFonts w:ascii="Arial" w:hAnsi="Arial" w:hint="default"/>
      </w:rPr>
    </w:lvl>
    <w:lvl w:ilvl="5" w:tplc="E03E4628" w:tentative="1">
      <w:start w:val="1"/>
      <w:numFmt w:val="bullet"/>
      <w:lvlText w:val="•"/>
      <w:lvlJc w:val="left"/>
      <w:pPr>
        <w:tabs>
          <w:tab w:val="num" w:pos="4320"/>
        </w:tabs>
        <w:ind w:left="4320" w:hanging="360"/>
      </w:pPr>
      <w:rPr>
        <w:rFonts w:ascii="Arial" w:hAnsi="Arial" w:hint="default"/>
      </w:rPr>
    </w:lvl>
    <w:lvl w:ilvl="6" w:tplc="C1C8BF06" w:tentative="1">
      <w:start w:val="1"/>
      <w:numFmt w:val="bullet"/>
      <w:lvlText w:val="•"/>
      <w:lvlJc w:val="left"/>
      <w:pPr>
        <w:tabs>
          <w:tab w:val="num" w:pos="5040"/>
        </w:tabs>
        <w:ind w:left="5040" w:hanging="360"/>
      </w:pPr>
      <w:rPr>
        <w:rFonts w:ascii="Arial" w:hAnsi="Arial" w:hint="default"/>
      </w:rPr>
    </w:lvl>
    <w:lvl w:ilvl="7" w:tplc="CA304D52" w:tentative="1">
      <w:start w:val="1"/>
      <w:numFmt w:val="bullet"/>
      <w:lvlText w:val="•"/>
      <w:lvlJc w:val="left"/>
      <w:pPr>
        <w:tabs>
          <w:tab w:val="num" w:pos="5760"/>
        </w:tabs>
        <w:ind w:left="5760" w:hanging="360"/>
      </w:pPr>
      <w:rPr>
        <w:rFonts w:ascii="Arial" w:hAnsi="Arial" w:hint="default"/>
      </w:rPr>
    </w:lvl>
    <w:lvl w:ilvl="8" w:tplc="C9D6C5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FD0FC2"/>
    <w:multiLevelType w:val="hybridMultilevel"/>
    <w:tmpl w:val="743EEFDA"/>
    <w:lvl w:ilvl="0" w:tplc="06B6B5B8">
      <w:start w:val="1"/>
      <w:numFmt w:val="bullet"/>
      <w:lvlText w:val="•"/>
      <w:lvlJc w:val="left"/>
      <w:pPr>
        <w:tabs>
          <w:tab w:val="num" w:pos="720"/>
        </w:tabs>
        <w:ind w:left="720" w:hanging="360"/>
      </w:pPr>
      <w:rPr>
        <w:rFonts w:ascii="Arial" w:hAnsi="Arial" w:hint="default"/>
      </w:rPr>
    </w:lvl>
    <w:lvl w:ilvl="1" w:tplc="F990D3FE" w:tentative="1">
      <w:start w:val="1"/>
      <w:numFmt w:val="bullet"/>
      <w:lvlText w:val="•"/>
      <w:lvlJc w:val="left"/>
      <w:pPr>
        <w:tabs>
          <w:tab w:val="num" w:pos="1440"/>
        </w:tabs>
        <w:ind w:left="1440" w:hanging="360"/>
      </w:pPr>
      <w:rPr>
        <w:rFonts w:ascii="Arial" w:hAnsi="Arial" w:hint="default"/>
      </w:rPr>
    </w:lvl>
    <w:lvl w:ilvl="2" w:tplc="41CA6410" w:tentative="1">
      <w:start w:val="1"/>
      <w:numFmt w:val="bullet"/>
      <w:lvlText w:val="•"/>
      <w:lvlJc w:val="left"/>
      <w:pPr>
        <w:tabs>
          <w:tab w:val="num" w:pos="2160"/>
        </w:tabs>
        <w:ind w:left="2160" w:hanging="360"/>
      </w:pPr>
      <w:rPr>
        <w:rFonts w:ascii="Arial" w:hAnsi="Arial" w:hint="default"/>
      </w:rPr>
    </w:lvl>
    <w:lvl w:ilvl="3" w:tplc="525CEF76" w:tentative="1">
      <w:start w:val="1"/>
      <w:numFmt w:val="bullet"/>
      <w:lvlText w:val="•"/>
      <w:lvlJc w:val="left"/>
      <w:pPr>
        <w:tabs>
          <w:tab w:val="num" w:pos="2880"/>
        </w:tabs>
        <w:ind w:left="2880" w:hanging="360"/>
      </w:pPr>
      <w:rPr>
        <w:rFonts w:ascii="Arial" w:hAnsi="Arial" w:hint="default"/>
      </w:rPr>
    </w:lvl>
    <w:lvl w:ilvl="4" w:tplc="041ABCF4" w:tentative="1">
      <w:start w:val="1"/>
      <w:numFmt w:val="bullet"/>
      <w:lvlText w:val="•"/>
      <w:lvlJc w:val="left"/>
      <w:pPr>
        <w:tabs>
          <w:tab w:val="num" w:pos="3600"/>
        </w:tabs>
        <w:ind w:left="3600" w:hanging="360"/>
      </w:pPr>
      <w:rPr>
        <w:rFonts w:ascii="Arial" w:hAnsi="Arial" w:hint="default"/>
      </w:rPr>
    </w:lvl>
    <w:lvl w:ilvl="5" w:tplc="60C864DE" w:tentative="1">
      <w:start w:val="1"/>
      <w:numFmt w:val="bullet"/>
      <w:lvlText w:val="•"/>
      <w:lvlJc w:val="left"/>
      <w:pPr>
        <w:tabs>
          <w:tab w:val="num" w:pos="4320"/>
        </w:tabs>
        <w:ind w:left="4320" w:hanging="360"/>
      </w:pPr>
      <w:rPr>
        <w:rFonts w:ascii="Arial" w:hAnsi="Arial" w:hint="default"/>
      </w:rPr>
    </w:lvl>
    <w:lvl w:ilvl="6" w:tplc="28C45A1A" w:tentative="1">
      <w:start w:val="1"/>
      <w:numFmt w:val="bullet"/>
      <w:lvlText w:val="•"/>
      <w:lvlJc w:val="left"/>
      <w:pPr>
        <w:tabs>
          <w:tab w:val="num" w:pos="5040"/>
        </w:tabs>
        <w:ind w:left="5040" w:hanging="360"/>
      </w:pPr>
      <w:rPr>
        <w:rFonts w:ascii="Arial" w:hAnsi="Arial" w:hint="default"/>
      </w:rPr>
    </w:lvl>
    <w:lvl w:ilvl="7" w:tplc="F9D0607A" w:tentative="1">
      <w:start w:val="1"/>
      <w:numFmt w:val="bullet"/>
      <w:lvlText w:val="•"/>
      <w:lvlJc w:val="left"/>
      <w:pPr>
        <w:tabs>
          <w:tab w:val="num" w:pos="5760"/>
        </w:tabs>
        <w:ind w:left="5760" w:hanging="360"/>
      </w:pPr>
      <w:rPr>
        <w:rFonts w:ascii="Arial" w:hAnsi="Arial" w:hint="default"/>
      </w:rPr>
    </w:lvl>
    <w:lvl w:ilvl="8" w:tplc="ACEA09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4F0E85"/>
    <w:multiLevelType w:val="hybridMultilevel"/>
    <w:tmpl w:val="77600220"/>
    <w:lvl w:ilvl="0" w:tplc="E0D29A50">
      <w:start w:val="1"/>
      <w:numFmt w:val="bullet"/>
      <w:lvlText w:val="•"/>
      <w:lvlJc w:val="left"/>
      <w:pPr>
        <w:tabs>
          <w:tab w:val="num" w:pos="720"/>
        </w:tabs>
        <w:ind w:left="720" w:hanging="360"/>
      </w:pPr>
      <w:rPr>
        <w:rFonts w:ascii="Arial" w:hAnsi="Arial" w:hint="default"/>
      </w:rPr>
    </w:lvl>
    <w:lvl w:ilvl="1" w:tplc="9D2E5450" w:tentative="1">
      <w:start w:val="1"/>
      <w:numFmt w:val="bullet"/>
      <w:lvlText w:val="•"/>
      <w:lvlJc w:val="left"/>
      <w:pPr>
        <w:tabs>
          <w:tab w:val="num" w:pos="1440"/>
        </w:tabs>
        <w:ind w:left="1440" w:hanging="360"/>
      </w:pPr>
      <w:rPr>
        <w:rFonts w:ascii="Arial" w:hAnsi="Arial" w:hint="default"/>
      </w:rPr>
    </w:lvl>
    <w:lvl w:ilvl="2" w:tplc="197E56D6" w:tentative="1">
      <w:start w:val="1"/>
      <w:numFmt w:val="bullet"/>
      <w:lvlText w:val="•"/>
      <w:lvlJc w:val="left"/>
      <w:pPr>
        <w:tabs>
          <w:tab w:val="num" w:pos="2160"/>
        </w:tabs>
        <w:ind w:left="2160" w:hanging="360"/>
      </w:pPr>
      <w:rPr>
        <w:rFonts w:ascii="Arial" w:hAnsi="Arial" w:hint="default"/>
      </w:rPr>
    </w:lvl>
    <w:lvl w:ilvl="3" w:tplc="AF68BD64" w:tentative="1">
      <w:start w:val="1"/>
      <w:numFmt w:val="bullet"/>
      <w:lvlText w:val="•"/>
      <w:lvlJc w:val="left"/>
      <w:pPr>
        <w:tabs>
          <w:tab w:val="num" w:pos="2880"/>
        </w:tabs>
        <w:ind w:left="2880" w:hanging="360"/>
      </w:pPr>
      <w:rPr>
        <w:rFonts w:ascii="Arial" w:hAnsi="Arial" w:hint="default"/>
      </w:rPr>
    </w:lvl>
    <w:lvl w:ilvl="4" w:tplc="36DABDE2" w:tentative="1">
      <w:start w:val="1"/>
      <w:numFmt w:val="bullet"/>
      <w:lvlText w:val="•"/>
      <w:lvlJc w:val="left"/>
      <w:pPr>
        <w:tabs>
          <w:tab w:val="num" w:pos="3600"/>
        </w:tabs>
        <w:ind w:left="3600" w:hanging="360"/>
      </w:pPr>
      <w:rPr>
        <w:rFonts w:ascii="Arial" w:hAnsi="Arial" w:hint="default"/>
      </w:rPr>
    </w:lvl>
    <w:lvl w:ilvl="5" w:tplc="255CA5F0" w:tentative="1">
      <w:start w:val="1"/>
      <w:numFmt w:val="bullet"/>
      <w:lvlText w:val="•"/>
      <w:lvlJc w:val="left"/>
      <w:pPr>
        <w:tabs>
          <w:tab w:val="num" w:pos="4320"/>
        </w:tabs>
        <w:ind w:left="4320" w:hanging="360"/>
      </w:pPr>
      <w:rPr>
        <w:rFonts w:ascii="Arial" w:hAnsi="Arial" w:hint="default"/>
      </w:rPr>
    </w:lvl>
    <w:lvl w:ilvl="6" w:tplc="6688CA88" w:tentative="1">
      <w:start w:val="1"/>
      <w:numFmt w:val="bullet"/>
      <w:lvlText w:val="•"/>
      <w:lvlJc w:val="left"/>
      <w:pPr>
        <w:tabs>
          <w:tab w:val="num" w:pos="5040"/>
        </w:tabs>
        <w:ind w:left="5040" w:hanging="360"/>
      </w:pPr>
      <w:rPr>
        <w:rFonts w:ascii="Arial" w:hAnsi="Arial" w:hint="default"/>
      </w:rPr>
    </w:lvl>
    <w:lvl w:ilvl="7" w:tplc="7FDA4F02" w:tentative="1">
      <w:start w:val="1"/>
      <w:numFmt w:val="bullet"/>
      <w:lvlText w:val="•"/>
      <w:lvlJc w:val="left"/>
      <w:pPr>
        <w:tabs>
          <w:tab w:val="num" w:pos="5760"/>
        </w:tabs>
        <w:ind w:left="5760" w:hanging="360"/>
      </w:pPr>
      <w:rPr>
        <w:rFonts w:ascii="Arial" w:hAnsi="Arial" w:hint="default"/>
      </w:rPr>
    </w:lvl>
    <w:lvl w:ilvl="8" w:tplc="6CCEB5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FB2C0A"/>
    <w:multiLevelType w:val="hybridMultilevel"/>
    <w:tmpl w:val="4B02F1F0"/>
    <w:lvl w:ilvl="0" w:tplc="488A6148">
      <w:start w:val="1"/>
      <w:numFmt w:val="bullet"/>
      <w:lvlText w:val="•"/>
      <w:lvlJc w:val="left"/>
      <w:pPr>
        <w:tabs>
          <w:tab w:val="num" w:pos="720"/>
        </w:tabs>
        <w:ind w:left="720" w:hanging="360"/>
      </w:pPr>
      <w:rPr>
        <w:rFonts w:ascii="Arial" w:hAnsi="Arial" w:hint="default"/>
      </w:rPr>
    </w:lvl>
    <w:lvl w:ilvl="1" w:tplc="9F3C54C8" w:tentative="1">
      <w:start w:val="1"/>
      <w:numFmt w:val="bullet"/>
      <w:lvlText w:val="•"/>
      <w:lvlJc w:val="left"/>
      <w:pPr>
        <w:tabs>
          <w:tab w:val="num" w:pos="1440"/>
        </w:tabs>
        <w:ind w:left="1440" w:hanging="360"/>
      </w:pPr>
      <w:rPr>
        <w:rFonts w:ascii="Arial" w:hAnsi="Arial" w:hint="default"/>
      </w:rPr>
    </w:lvl>
    <w:lvl w:ilvl="2" w:tplc="D2DE2CAE" w:tentative="1">
      <w:start w:val="1"/>
      <w:numFmt w:val="bullet"/>
      <w:lvlText w:val="•"/>
      <w:lvlJc w:val="left"/>
      <w:pPr>
        <w:tabs>
          <w:tab w:val="num" w:pos="2160"/>
        </w:tabs>
        <w:ind w:left="2160" w:hanging="360"/>
      </w:pPr>
      <w:rPr>
        <w:rFonts w:ascii="Arial" w:hAnsi="Arial" w:hint="default"/>
      </w:rPr>
    </w:lvl>
    <w:lvl w:ilvl="3" w:tplc="8362BA22" w:tentative="1">
      <w:start w:val="1"/>
      <w:numFmt w:val="bullet"/>
      <w:lvlText w:val="•"/>
      <w:lvlJc w:val="left"/>
      <w:pPr>
        <w:tabs>
          <w:tab w:val="num" w:pos="2880"/>
        </w:tabs>
        <w:ind w:left="2880" w:hanging="360"/>
      </w:pPr>
      <w:rPr>
        <w:rFonts w:ascii="Arial" w:hAnsi="Arial" w:hint="default"/>
      </w:rPr>
    </w:lvl>
    <w:lvl w:ilvl="4" w:tplc="45F42A78" w:tentative="1">
      <w:start w:val="1"/>
      <w:numFmt w:val="bullet"/>
      <w:lvlText w:val="•"/>
      <w:lvlJc w:val="left"/>
      <w:pPr>
        <w:tabs>
          <w:tab w:val="num" w:pos="3600"/>
        </w:tabs>
        <w:ind w:left="3600" w:hanging="360"/>
      </w:pPr>
      <w:rPr>
        <w:rFonts w:ascii="Arial" w:hAnsi="Arial" w:hint="default"/>
      </w:rPr>
    </w:lvl>
    <w:lvl w:ilvl="5" w:tplc="99B8B978" w:tentative="1">
      <w:start w:val="1"/>
      <w:numFmt w:val="bullet"/>
      <w:lvlText w:val="•"/>
      <w:lvlJc w:val="left"/>
      <w:pPr>
        <w:tabs>
          <w:tab w:val="num" w:pos="4320"/>
        </w:tabs>
        <w:ind w:left="4320" w:hanging="360"/>
      </w:pPr>
      <w:rPr>
        <w:rFonts w:ascii="Arial" w:hAnsi="Arial" w:hint="default"/>
      </w:rPr>
    </w:lvl>
    <w:lvl w:ilvl="6" w:tplc="A0FA1AEA" w:tentative="1">
      <w:start w:val="1"/>
      <w:numFmt w:val="bullet"/>
      <w:lvlText w:val="•"/>
      <w:lvlJc w:val="left"/>
      <w:pPr>
        <w:tabs>
          <w:tab w:val="num" w:pos="5040"/>
        </w:tabs>
        <w:ind w:left="5040" w:hanging="360"/>
      </w:pPr>
      <w:rPr>
        <w:rFonts w:ascii="Arial" w:hAnsi="Arial" w:hint="default"/>
      </w:rPr>
    </w:lvl>
    <w:lvl w:ilvl="7" w:tplc="D0C222F6" w:tentative="1">
      <w:start w:val="1"/>
      <w:numFmt w:val="bullet"/>
      <w:lvlText w:val="•"/>
      <w:lvlJc w:val="left"/>
      <w:pPr>
        <w:tabs>
          <w:tab w:val="num" w:pos="5760"/>
        </w:tabs>
        <w:ind w:left="5760" w:hanging="360"/>
      </w:pPr>
      <w:rPr>
        <w:rFonts w:ascii="Arial" w:hAnsi="Arial" w:hint="default"/>
      </w:rPr>
    </w:lvl>
    <w:lvl w:ilvl="8" w:tplc="920A001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044B"/>
    <w:rsid w:val="002B044B"/>
    <w:rsid w:val="004A1249"/>
    <w:rsid w:val="00600642"/>
    <w:rsid w:val="00700E77"/>
    <w:rsid w:val="00732982"/>
    <w:rsid w:val="00CA01D9"/>
    <w:rsid w:val="00CF3F7D"/>
    <w:rsid w:val="00E56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5AFD5-C1C1-40E7-8858-BA643CB8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06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04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044B"/>
  </w:style>
  <w:style w:type="paragraph" w:styleId="Voettekst">
    <w:name w:val="footer"/>
    <w:basedOn w:val="Standaard"/>
    <w:link w:val="VoettekstChar"/>
    <w:uiPriority w:val="99"/>
    <w:unhideWhenUsed/>
    <w:rsid w:val="002B04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044B"/>
  </w:style>
  <w:style w:type="paragraph" w:styleId="Ballontekst">
    <w:name w:val="Balloon Text"/>
    <w:basedOn w:val="Standaard"/>
    <w:link w:val="BallontekstChar"/>
    <w:uiPriority w:val="99"/>
    <w:semiHidden/>
    <w:unhideWhenUsed/>
    <w:rsid w:val="00E562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6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2086">
      <w:bodyDiv w:val="1"/>
      <w:marLeft w:val="0"/>
      <w:marRight w:val="0"/>
      <w:marTop w:val="0"/>
      <w:marBottom w:val="0"/>
      <w:divBdr>
        <w:top w:val="none" w:sz="0" w:space="0" w:color="auto"/>
        <w:left w:val="none" w:sz="0" w:space="0" w:color="auto"/>
        <w:bottom w:val="none" w:sz="0" w:space="0" w:color="auto"/>
        <w:right w:val="none" w:sz="0" w:space="0" w:color="auto"/>
      </w:divBdr>
      <w:divsChild>
        <w:div w:id="391002725">
          <w:marLeft w:val="720"/>
          <w:marRight w:val="0"/>
          <w:marTop w:val="200"/>
          <w:marBottom w:val="0"/>
          <w:divBdr>
            <w:top w:val="none" w:sz="0" w:space="0" w:color="auto"/>
            <w:left w:val="none" w:sz="0" w:space="0" w:color="auto"/>
            <w:bottom w:val="none" w:sz="0" w:space="0" w:color="auto"/>
            <w:right w:val="none" w:sz="0" w:space="0" w:color="auto"/>
          </w:divBdr>
        </w:div>
        <w:div w:id="1655571303">
          <w:marLeft w:val="720"/>
          <w:marRight w:val="0"/>
          <w:marTop w:val="200"/>
          <w:marBottom w:val="0"/>
          <w:divBdr>
            <w:top w:val="none" w:sz="0" w:space="0" w:color="auto"/>
            <w:left w:val="none" w:sz="0" w:space="0" w:color="auto"/>
            <w:bottom w:val="none" w:sz="0" w:space="0" w:color="auto"/>
            <w:right w:val="none" w:sz="0" w:space="0" w:color="auto"/>
          </w:divBdr>
        </w:div>
      </w:divsChild>
    </w:div>
    <w:div w:id="762649651">
      <w:bodyDiv w:val="1"/>
      <w:marLeft w:val="0"/>
      <w:marRight w:val="0"/>
      <w:marTop w:val="0"/>
      <w:marBottom w:val="0"/>
      <w:divBdr>
        <w:top w:val="none" w:sz="0" w:space="0" w:color="auto"/>
        <w:left w:val="none" w:sz="0" w:space="0" w:color="auto"/>
        <w:bottom w:val="none" w:sz="0" w:space="0" w:color="auto"/>
        <w:right w:val="none" w:sz="0" w:space="0" w:color="auto"/>
      </w:divBdr>
      <w:divsChild>
        <w:div w:id="2024236863">
          <w:marLeft w:val="547"/>
          <w:marRight w:val="0"/>
          <w:marTop w:val="200"/>
          <w:marBottom w:val="0"/>
          <w:divBdr>
            <w:top w:val="none" w:sz="0" w:space="0" w:color="auto"/>
            <w:left w:val="none" w:sz="0" w:space="0" w:color="auto"/>
            <w:bottom w:val="none" w:sz="0" w:space="0" w:color="auto"/>
            <w:right w:val="none" w:sz="0" w:space="0" w:color="auto"/>
          </w:divBdr>
        </w:div>
        <w:div w:id="1905215559">
          <w:marLeft w:val="547"/>
          <w:marRight w:val="0"/>
          <w:marTop w:val="200"/>
          <w:marBottom w:val="0"/>
          <w:divBdr>
            <w:top w:val="none" w:sz="0" w:space="0" w:color="auto"/>
            <w:left w:val="none" w:sz="0" w:space="0" w:color="auto"/>
            <w:bottom w:val="none" w:sz="0" w:space="0" w:color="auto"/>
            <w:right w:val="none" w:sz="0" w:space="0" w:color="auto"/>
          </w:divBdr>
        </w:div>
        <w:div w:id="918101528">
          <w:marLeft w:val="547"/>
          <w:marRight w:val="0"/>
          <w:marTop w:val="200"/>
          <w:marBottom w:val="0"/>
          <w:divBdr>
            <w:top w:val="none" w:sz="0" w:space="0" w:color="auto"/>
            <w:left w:val="none" w:sz="0" w:space="0" w:color="auto"/>
            <w:bottom w:val="none" w:sz="0" w:space="0" w:color="auto"/>
            <w:right w:val="none" w:sz="0" w:space="0" w:color="auto"/>
          </w:divBdr>
        </w:div>
        <w:div w:id="1096906398">
          <w:marLeft w:val="547"/>
          <w:marRight w:val="0"/>
          <w:marTop w:val="200"/>
          <w:marBottom w:val="0"/>
          <w:divBdr>
            <w:top w:val="none" w:sz="0" w:space="0" w:color="auto"/>
            <w:left w:val="none" w:sz="0" w:space="0" w:color="auto"/>
            <w:bottom w:val="none" w:sz="0" w:space="0" w:color="auto"/>
            <w:right w:val="none" w:sz="0" w:space="0" w:color="auto"/>
          </w:divBdr>
        </w:div>
        <w:div w:id="864244832">
          <w:marLeft w:val="547"/>
          <w:marRight w:val="0"/>
          <w:marTop w:val="200"/>
          <w:marBottom w:val="0"/>
          <w:divBdr>
            <w:top w:val="none" w:sz="0" w:space="0" w:color="auto"/>
            <w:left w:val="none" w:sz="0" w:space="0" w:color="auto"/>
            <w:bottom w:val="none" w:sz="0" w:space="0" w:color="auto"/>
            <w:right w:val="none" w:sz="0" w:space="0" w:color="auto"/>
          </w:divBdr>
        </w:div>
        <w:div w:id="300116390">
          <w:marLeft w:val="547"/>
          <w:marRight w:val="0"/>
          <w:marTop w:val="200"/>
          <w:marBottom w:val="0"/>
          <w:divBdr>
            <w:top w:val="none" w:sz="0" w:space="0" w:color="auto"/>
            <w:left w:val="none" w:sz="0" w:space="0" w:color="auto"/>
            <w:bottom w:val="none" w:sz="0" w:space="0" w:color="auto"/>
            <w:right w:val="none" w:sz="0" w:space="0" w:color="auto"/>
          </w:divBdr>
        </w:div>
        <w:div w:id="354036352">
          <w:marLeft w:val="547"/>
          <w:marRight w:val="0"/>
          <w:marTop w:val="200"/>
          <w:marBottom w:val="0"/>
          <w:divBdr>
            <w:top w:val="none" w:sz="0" w:space="0" w:color="auto"/>
            <w:left w:val="none" w:sz="0" w:space="0" w:color="auto"/>
            <w:bottom w:val="none" w:sz="0" w:space="0" w:color="auto"/>
            <w:right w:val="none" w:sz="0" w:space="0" w:color="auto"/>
          </w:divBdr>
        </w:div>
        <w:div w:id="1965505865">
          <w:marLeft w:val="547"/>
          <w:marRight w:val="0"/>
          <w:marTop w:val="200"/>
          <w:marBottom w:val="0"/>
          <w:divBdr>
            <w:top w:val="none" w:sz="0" w:space="0" w:color="auto"/>
            <w:left w:val="none" w:sz="0" w:space="0" w:color="auto"/>
            <w:bottom w:val="none" w:sz="0" w:space="0" w:color="auto"/>
            <w:right w:val="none" w:sz="0" w:space="0" w:color="auto"/>
          </w:divBdr>
        </w:div>
        <w:div w:id="234630420">
          <w:marLeft w:val="547"/>
          <w:marRight w:val="0"/>
          <w:marTop w:val="200"/>
          <w:marBottom w:val="0"/>
          <w:divBdr>
            <w:top w:val="none" w:sz="0" w:space="0" w:color="auto"/>
            <w:left w:val="none" w:sz="0" w:space="0" w:color="auto"/>
            <w:bottom w:val="none" w:sz="0" w:space="0" w:color="auto"/>
            <w:right w:val="none" w:sz="0" w:space="0" w:color="auto"/>
          </w:divBdr>
        </w:div>
        <w:div w:id="443888983">
          <w:marLeft w:val="547"/>
          <w:marRight w:val="0"/>
          <w:marTop w:val="200"/>
          <w:marBottom w:val="0"/>
          <w:divBdr>
            <w:top w:val="none" w:sz="0" w:space="0" w:color="auto"/>
            <w:left w:val="none" w:sz="0" w:space="0" w:color="auto"/>
            <w:bottom w:val="none" w:sz="0" w:space="0" w:color="auto"/>
            <w:right w:val="none" w:sz="0" w:space="0" w:color="auto"/>
          </w:divBdr>
        </w:div>
        <w:div w:id="1168521248">
          <w:marLeft w:val="547"/>
          <w:marRight w:val="0"/>
          <w:marTop w:val="200"/>
          <w:marBottom w:val="0"/>
          <w:divBdr>
            <w:top w:val="none" w:sz="0" w:space="0" w:color="auto"/>
            <w:left w:val="none" w:sz="0" w:space="0" w:color="auto"/>
            <w:bottom w:val="none" w:sz="0" w:space="0" w:color="auto"/>
            <w:right w:val="none" w:sz="0" w:space="0" w:color="auto"/>
          </w:divBdr>
        </w:div>
      </w:divsChild>
    </w:div>
    <w:div w:id="1077750799">
      <w:bodyDiv w:val="1"/>
      <w:marLeft w:val="0"/>
      <w:marRight w:val="0"/>
      <w:marTop w:val="0"/>
      <w:marBottom w:val="0"/>
      <w:divBdr>
        <w:top w:val="none" w:sz="0" w:space="0" w:color="auto"/>
        <w:left w:val="none" w:sz="0" w:space="0" w:color="auto"/>
        <w:bottom w:val="none" w:sz="0" w:space="0" w:color="auto"/>
        <w:right w:val="none" w:sz="0" w:space="0" w:color="auto"/>
      </w:divBdr>
    </w:div>
    <w:div w:id="1533877675">
      <w:bodyDiv w:val="1"/>
      <w:marLeft w:val="0"/>
      <w:marRight w:val="0"/>
      <w:marTop w:val="0"/>
      <w:marBottom w:val="0"/>
      <w:divBdr>
        <w:top w:val="none" w:sz="0" w:space="0" w:color="auto"/>
        <w:left w:val="none" w:sz="0" w:space="0" w:color="auto"/>
        <w:bottom w:val="none" w:sz="0" w:space="0" w:color="auto"/>
        <w:right w:val="none" w:sz="0" w:space="0" w:color="auto"/>
      </w:divBdr>
      <w:divsChild>
        <w:div w:id="502940597">
          <w:marLeft w:val="547"/>
          <w:marRight w:val="0"/>
          <w:marTop w:val="200"/>
          <w:marBottom w:val="0"/>
          <w:divBdr>
            <w:top w:val="none" w:sz="0" w:space="0" w:color="auto"/>
            <w:left w:val="none" w:sz="0" w:space="0" w:color="auto"/>
            <w:bottom w:val="none" w:sz="0" w:space="0" w:color="auto"/>
            <w:right w:val="none" w:sz="0" w:space="0" w:color="auto"/>
          </w:divBdr>
        </w:div>
        <w:div w:id="1220481999">
          <w:marLeft w:val="547"/>
          <w:marRight w:val="0"/>
          <w:marTop w:val="200"/>
          <w:marBottom w:val="0"/>
          <w:divBdr>
            <w:top w:val="none" w:sz="0" w:space="0" w:color="auto"/>
            <w:left w:val="none" w:sz="0" w:space="0" w:color="auto"/>
            <w:bottom w:val="none" w:sz="0" w:space="0" w:color="auto"/>
            <w:right w:val="none" w:sz="0" w:space="0" w:color="auto"/>
          </w:divBdr>
        </w:div>
        <w:div w:id="1645547054">
          <w:marLeft w:val="547"/>
          <w:marRight w:val="0"/>
          <w:marTop w:val="200"/>
          <w:marBottom w:val="0"/>
          <w:divBdr>
            <w:top w:val="none" w:sz="0" w:space="0" w:color="auto"/>
            <w:left w:val="none" w:sz="0" w:space="0" w:color="auto"/>
            <w:bottom w:val="none" w:sz="0" w:space="0" w:color="auto"/>
            <w:right w:val="none" w:sz="0" w:space="0" w:color="auto"/>
          </w:divBdr>
        </w:div>
        <w:div w:id="665089837">
          <w:marLeft w:val="547"/>
          <w:marRight w:val="0"/>
          <w:marTop w:val="200"/>
          <w:marBottom w:val="0"/>
          <w:divBdr>
            <w:top w:val="none" w:sz="0" w:space="0" w:color="auto"/>
            <w:left w:val="none" w:sz="0" w:space="0" w:color="auto"/>
            <w:bottom w:val="none" w:sz="0" w:space="0" w:color="auto"/>
            <w:right w:val="none" w:sz="0" w:space="0" w:color="auto"/>
          </w:divBdr>
        </w:div>
        <w:div w:id="701788282">
          <w:marLeft w:val="547"/>
          <w:marRight w:val="0"/>
          <w:marTop w:val="200"/>
          <w:marBottom w:val="0"/>
          <w:divBdr>
            <w:top w:val="none" w:sz="0" w:space="0" w:color="auto"/>
            <w:left w:val="none" w:sz="0" w:space="0" w:color="auto"/>
            <w:bottom w:val="none" w:sz="0" w:space="0" w:color="auto"/>
            <w:right w:val="none" w:sz="0" w:space="0" w:color="auto"/>
          </w:divBdr>
        </w:div>
        <w:div w:id="169177157">
          <w:marLeft w:val="547"/>
          <w:marRight w:val="0"/>
          <w:marTop w:val="200"/>
          <w:marBottom w:val="0"/>
          <w:divBdr>
            <w:top w:val="none" w:sz="0" w:space="0" w:color="auto"/>
            <w:left w:val="none" w:sz="0" w:space="0" w:color="auto"/>
            <w:bottom w:val="none" w:sz="0" w:space="0" w:color="auto"/>
            <w:right w:val="none" w:sz="0" w:space="0" w:color="auto"/>
          </w:divBdr>
        </w:div>
        <w:div w:id="184484856">
          <w:marLeft w:val="547"/>
          <w:marRight w:val="0"/>
          <w:marTop w:val="200"/>
          <w:marBottom w:val="0"/>
          <w:divBdr>
            <w:top w:val="none" w:sz="0" w:space="0" w:color="auto"/>
            <w:left w:val="none" w:sz="0" w:space="0" w:color="auto"/>
            <w:bottom w:val="none" w:sz="0" w:space="0" w:color="auto"/>
            <w:right w:val="none" w:sz="0" w:space="0" w:color="auto"/>
          </w:divBdr>
        </w:div>
        <w:div w:id="1361511253">
          <w:marLeft w:val="547"/>
          <w:marRight w:val="0"/>
          <w:marTop w:val="200"/>
          <w:marBottom w:val="0"/>
          <w:divBdr>
            <w:top w:val="none" w:sz="0" w:space="0" w:color="auto"/>
            <w:left w:val="none" w:sz="0" w:space="0" w:color="auto"/>
            <w:bottom w:val="none" w:sz="0" w:space="0" w:color="auto"/>
            <w:right w:val="none" w:sz="0" w:space="0" w:color="auto"/>
          </w:divBdr>
        </w:div>
        <w:div w:id="137068131">
          <w:marLeft w:val="547"/>
          <w:marRight w:val="0"/>
          <w:marTop w:val="200"/>
          <w:marBottom w:val="0"/>
          <w:divBdr>
            <w:top w:val="none" w:sz="0" w:space="0" w:color="auto"/>
            <w:left w:val="none" w:sz="0" w:space="0" w:color="auto"/>
            <w:bottom w:val="none" w:sz="0" w:space="0" w:color="auto"/>
            <w:right w:val="none" w:sz="0" w:space="0" w:color="auto"/>
          </w:divBdr>
        </w:div>
        <w:div w:id="1748573018">
          <w:marLeft w:val="547"/>
          <w:marRight w:val="0"/>
          <w:marTop w:val="200"/>
          <w:marBottom w:val="0"/>
          <w:divBdr>
            <w:top w:val="none" w:sz="0" w:space="0" w:color="auto"/>
            <w:left w:val="none" w:sz="0" w:space="0" w:color="auto"/>
            <w:bottom w:val="none" w:sz="0" w:space="0" w:color="auto"/>
            <w:right w:val="none" w:sz="0" w:space="0" w:color="auto"/>
          </w:divBdr>
        </w:div>
        <w:div w:id="1302804416">
          <w:marLeft w:val="547"/>
          <w:marRight w:val="0"/>
          <w:marTop w:val="200"/>
          <w:marBottom w:val="0"/>
          <w:divBdr>
            <w:top w:val="none" w:sz="0" w:space="0" w:color="auto"/>
            <w:left w:val="none" w:sz="0" w:space="0" w:color="auto"/>
            <w:bottom w:val="none" w:sz="0" w:space="0" w:color="auto"/>
            <w:right w:val="none" w:sz="0" w:space="0" w:color="auto"/>
          </w:divBdr>
        </w:div>
      </w:divsChild>
    </w:div>
    <w:div w:id="1665089955">
      <w:bodyDiv w:val="1"/>
      <w:marLeft w:val="0"/>
      <w:marRight w:val="0"/>
      <w:marTop w:val="0"/>
      <w:marBottom w:val="0"/>
      <w:divBdr>
        <w:top w:val="none" w:sz="0" w:space="0" w:color="auto"/>
        <w:left w:val="none" w:sz="0" w:space="0" w:color="auto"/>
        <w:bottom w:val="none" w:sz="0" w:space="0" w:color="auto"/>
        <w:right w:val="none" w:sz="0" w:space="0" w:color="auto"/>
      </w:divBdr>
      <w:divsChild>
        <w:div w:id="2088067060">
          <w:marLeft w:val="547"/>
          <w:marRight w:val="0"/>
          <w:marTop w:val="200"/>
          <w:marBottom w:val="0"/>
          <w:divBdr>
            <w:top w:val="none" w:sz="0" w:space="0" w:color="auto"/>
            <w:left w:val="none" w:sz="0" w:space="0" w:color="auto"/>
            <w:bottom w:val="none" w:sz="0" w:space="0" w:color="auto"/>
            <w:right w:val="none" w:sz="0" w:space="0" w:color="auto"/>
          </w:divBdr>
        </w:div>
        <w:div w:id="2070766471">
          <w:marLeft w:val="547"/>
          <w:marRight w:val="0"/>
          <w:marTop w:val="200"/>
          <w:marBottom w:val="0"/>
          <w:divBdr>
            <w:top w:val="none" w:sz="0" w:space="0" w:color="auto"/>
            <w:left w:val="none" w:sz="0" w:space="0" w:color="auto"/>
            <w:bottom w:val="none" w:sz="0" w:space="0" w:color="auto"/>
            <w:right w:val="none" w:sz="0" w:space="0" w:color="auto"/>
          </w:divBdr>
        </w:div>
        <w:div w:id="1153133288">
          <w:marLeft w:val="547"/>
          <w:marRight w:val="0"/>
          <w:marTop w:val="200"/>
          <w:marBottom w:val="0"/>
          <w:divBdr>
            <w:top w:val="none" w:sz="0" w:space="0" w:color="auto"/>
            <w:left w:val="none" w:sz="0" w:space="0" w:color="auto"/>
            <w:bottom w:val="none" w:sz="0" w:space="0" w:color="auto"/>
            <w:right w:val="none" w:sz="0" w:space="0" w:color="auto"/>
          </w:divBdr>
        </w:div>
        <w:div w:id="515654852">
          <w:marLeft w:val="547"/>
          <w:marRight w:val="0"/>
          <w:marTop w:val="200"/>
          <w:marBottom w:val="0"/>
          <w:divBdr>
            <w:top w:val="none" w:sz="0" w:space="0" w:color="auto"/>
            <w:left w:val="none" w:sz="0" w:space="0" w:color="auto"/>
            <w:bottom w:val="none" w:sz="0" w:space="0" w:color="auto"/>
            <w:right w:val="none" w:sz="0" w:space="0" w:color="auto"/>
          </w:divBdr>
        </w:div>
        <w:div w:id="25115957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4439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Zorg van de Zaak</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Sobocan</dc:creator>
  <cp:lastModifiedBy>menneni</cp:lastModifiedBy>
  <cp:revision>2</cp:revision>
  <dcterms:created xsi:type="dcterms:W3CDTF">2019-07-16T11:55:00Z</dcterms:created>
  <dcterms:modified xsi:type="dcterms:W3CDTF">2019-07-16T11:55:00Z</dcterms:modified>
</cp:coreProperties>
</file>